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CA6" w:rsidRPr="00CA0A20" w:rsidRDefault="00427CA6" w:rsidP="00427CA6">
      <w:pPr>
        <w:jc w:val="center"/>
        <w:rPr>
          <w:rFonts w:ascii="PF Din Text Cond Pro Light" w:hAnsi="PF Din Text Cond Pro Light" w:cs="Arial"/>
          <w:b/>
        </w:rPr>
      </w:pPr>
      <w:r>
        <w:rPr>
          <w:rFonts w:ascii="PF Din Text Cond Pro Light" w:hAnsi="PF Din Text Cond Pro Light" w:cs="Arial"/>
          <w:b/>
        </w:rPr>
        <w:t>Поступления в бюджет за 2014 год</w:t>
      </w:r>
    </w:p>
    <w:p w:rsidR="00427CA6" w:rsidRPr="005665B4" w:rsidRDefault="00427CA6" w:rsidP="00427CA6">
      <w:pPr>
        <w:ind w:firstLine="720"/>
        <w:jc w:val="right"/>
        <w:rPr>
          <w:rFonts w:ascii="PF Din Text Cond Pro Light" w:hAnsi="PF Din Text Cond Pro Light" w:cs="Arial"/>
          <w:b/>
          <w:sz w:val="16"/>
          <w:szCs w:val="16"/>
        </w:rPr>
      </w:pPr>
    </w:p>
    <w:p w:rsidR="00427CA6" w:rsidRPr="002E154A" w:rsidRDefault="00427CA6" w:rsidP="00427CA6">
      <w:pPr>
        <w:pStyle w:val="a4"/>
        <w:spacing w:before="0" w:beforeAutospacing="0" w:after="0" w:afterAutospacing="0"/>
        <w:ind w:firstLine="567"/>
        <w:jc w:val="both"/>
        <w:rPr>
          <w:rFonts w:ascii="PF Din Text Cond Pro Light" w:hAnsi="PF Din Text Cond Pro Light" w:cs="Arial"/>
          <w:bCs/>
        </w:rPr>
      </w:pPr>
      <w:r>
        <w:rPr>
          <w:rFonts w:ascii="PF Din Text Cond Pro Light" w:hAnsi="PF Din Text Cond Pro Light" w:cs="Arial"/>
        </w:rPr>
        <w:t xml:space="preserve">За 2014 год </w:t>
      </w:r>
      <w:r w:rsidRPr="00DE619F">
        <w:rPr>
          <w:rFonts w:ascii="PF Din Text Cond Pro Light" w:hAnsi="PF Din Text Cond Pro Light" w:cs="Arial"/>
        </w:rPr>
        <w:t xml:space="preserve">в консолидированный бюджет Российской Федерации с территории Республики Бурятия налоговые поступления в сумме около </w:t>
      </w:r>
      <w:r w:rsidRPr="000079F4">
        <w:rPr>
          <w:rFonts w:ascii="PF Din Text Cond Pro Light" w:hAnsi="PF Din Text Cond Pro Light" w:cs="Arial"/>
          <w:color w:val="1F497D"/>
        </w:rPr>
        <w:t>22.0 млрд. руб</w:t>
      </w:r>
      <w:r w:rsidRPr="00DE619F">
        <w:rPr>
          <w:rFonts w:ascii="PF Din Text Cond Pro Light" w:hAnsi="PF Din Text Cond Pro Light" w:cs="Arial"/>
        </w:rPr>
        <w:t xml:space="preserve">. Общий прирост налоговых поступлений составил 4,0% или около </w:t>
      </w:r>
      <w:r w:rsidRPr="000079F4">
        <w:rPr>
          <w:rFonts w:ascii="PF Din Text Cond Pro Light" w:hAnsi="PF Din Text Cond Pro Light" w:cs="Arial"/>
          <w:color w:val="1F497D"/>
        </w:rPr>
        <w:t xml:space="preserve">800,0 </w:t>
      </w:r>
      <w:proofErr w:type="spellStart"/>
      <w:r w:rsidRPr="000079F4">
        <w:rPr>
          <w:rFonts w:ascii="PF Din Text Cond Pro Light" w:hAnsi="PF Din Text Cond Pro Light" w:cs="Arial"/>
          <w:color w:val="1F497D"/>
        </w:rPr>
        <w:t>млн</w:t>
      </w:r>
      <w:proofErr w:type="gramStart"/>
      <w:r w:rsidRPr="000079F4">
        <w:rPr>
          <w:rFonts w:ascii="PF Din Text Cond Pro Light" w:hAnsi="PF Din Text Cond Pro Light" w:cs="Arial"/>
          <w:color w:val="1F497D"/>
        </w:rPr>
        <w:t>.р</w:t>
      </w:r>
      <w:proofErr w:type="gramEnd"/>
      <w:r w:rsidRPr="000079F4">
        <w:rPr>
          <w:rFonts w:ascii="PF Din Text Cond Pro Light" w:hAnsi="PF Din Text Cond Pro Light" w:cs="Arial"/>
          <w:color w:val="1F497D"/>
        </w:rPr>
        <w:t>уб</w:t>
      </w:r>
      <w:proofErr w:type="spellEnd"/>
      <w:r w:rsidRPr="00DE619F">
        <w:rPr>
          <w:rFonts w:ascii="PF Din Text Cond Pro Light" w:hAnsi="PF Din Text Cond Pro Light" w:cs="Arial"/>
        </w:rPr>
        <w:t>.</w:t>
      </w:r>
    </w:p>
    <w:p w:rsidR="00427CA6" w:rsidRPr="00DE619F" w:rsidRDefault="00427CA6" w:rsidP="00427CA6">
      <w:pPr>
        <w:pStyle w:val="a4"/>
        <w:spacing w:before="0" w:beforeAutospacing="0" w:after="0" w:afterAutospacing="0"/>
        <w:ind w:firstLine="567"/>
        <w:jc w:val="both"/>
        <w:rPr>
          <w:rFonts w:ascii="PF Din Text Cond Pro Light" w:hAnsi="PF Din Text Cond Pro Light" w:cs="Arial"/>
        </w:rPr>
      </w:pPr>
      <w:r w:rsidRPr="00DE619F">
        <w:rPr>
          <w:rFonts w:ascii="PF Din Text Cond Pro Light" w:hAnsi="PF Din Text Cond Pro Light" w:cs="Arial"/>
        </w:rPr>
        <w:t>Доведенные ФНС России  индикативные показатели по поступлению доходов в федеральный бюджет выполнены на 101.8%, республиканский бюджет выполнен на 100,8% (за 2013 г. -96,6 %), бюджеты муниципальных образований на 102,7 % (за 2013 г.- 108,5%).</w:t>
      </w:r>
    </w:p>
    <w:p w:rsidR="00427CA6" w:rsidRPr="00DE619F" w:rsidRDefault="00427CA6" w:rsidP="00427CA6">
      <w:pPr>
        <w:pStyle w:val="a4"/>
        <w:spacing w:before="0" w:beforeAutospacing="0" w:after="0" w:afterAutospacing="0"/>
        <w:ind w:firstLine="567"/>
        <w:jc w:val="both"/>
        <w:rPr>
          <w:rFonts w:ascii="PF Din Text Cond Pro Light" w:hAnsi="PF Din Text Cond Pro Light" w:cs="Arial"/>
        </w:rPr>
      </w:pPr>
      <w:r w:rsidRPr="00DE619F">
        <w:rPr>
          <w:rFonts w:ascii="PF Din Text Cond Pro Light" w:hAnsi="PF Din Text Cond Pro Light" w:cs="Arial"/>
        </w:rPr>
        <w:t>По основным видам налоговых платежей отрицательная динамика сложилась по налогу на прибыль (67%), акцизам (30.9%), водному налогу (83,8%), в суммарном объеме поступления по налогам снизились на 2120,2 млн. руб. Динамика поступлений по видам налогов соответствует динамике основных социально-экономических показателей региона.</w:t>
      </w:r>
    </w:p>
    <w:p w:rsidR="00427CA6" w:rsidRPr="00DE619F" w:rsidRDefault="00427CA6" w:rsidP="00427CA6">
      <w:pPr>
        <w:pStyle w:val="a4"/>
        <w:spacing w:before="0" w:beforeAutospacing="0" w:after="0" w:afterAutospacing="0"/>
        <w:ind w:firstLine="567"/>
        <w:jc w:val="both"/>
        <w:rPr>
          <w:rFonts w:ascii="PF Din Text Cond Pro Light" w:hAnsi="PF Din Text Cond Pro Light" w:cs="Arial"/>
        </w:rPr>
      </w:pPr>
      <w:r w:rsidRPr="00DE619F">
        <w:rPr>
          <w:rFonts w:ascii="PF Din Text Cond Pro Light" w:hAnsi="PF Din Text Cond Pro Light" w:cs="Arial"/>
        </w:rPr>
        <w:t xml:space="preserve"> В 2014</w:t>
      </w:r>
      <w:r>
        <w:rPr>
          <w:rFonts w:ascii="PF Din Text Cond Pro Light" w:hAnsi="PF Din Text Cond Pro Light" w:cs="Arial"/>
        </w:rPr>
        <w:t xml:space="preserve"> </w:t>
      </w:r>
      <w:r w:rsidRPr="00DE619F">
        <w:rPr>
          <w:rFonts w:ascii="PF Din Text Cond Pro Light" w:hAnsi="PF Din Text Cond Pro Light" w:cs="Arial"/>
        </w:rPr>
        <w:t>г. существенно замедлился темп роста поступлений по налогу на доходы физических лиц и налогам на совокупный доход. Так, темпы роста составили за 2014г. 100,7% и 105,0% соответственно.</w:t>
      </w:r>
    </w:p>
    <w:p w:rsidR="00427CA6" w:rsidRDefault="00427CA6" w:rsidP="00427CA6">
      <w:pPr>
        <w:pStyle w:val="a4"/>
        <w:spacing w:before="0" w:beforeAutospacing="0" w:after="0" w:afterAutospacing="0"/>
        <w:ind w:firstLine="567"/>
        <w:jc w:val="both"/>
        <w:rPr>
          <w:rFonts w:ascii="PF Din Text Cond Pro Light" w:hAnsi="PF Din Text Cond Pro Light" w:cs="Arial"/>
        </w:rPr>
      </w:pPr>
      <w:r w:rsidRPr="00DE619F">
        <w:rPr>
          <w:rFonts w:ascii="PF Din Text Cond Pro Light" w:hAnsi="PF Din Text Cond Pro Light" w:cs="Arial"/>
        </w:rPr>
        <w:t>Что касается имущественных налогов, в 2014 году темпы роста сохранились на значительном уровне: налог на имущество организаций</w:t>
      </w:r>
      <w:r>
        <w:rPr>
          <w:rFonts w:ascii="PF Din Text Cond Pro Light" w:hAnsi="PF Din Text Cond Pro Light" w:cs="Arial"/>
        </w:rPr>
        <w:t xml:space="preserve"> </w:t>
      </w:r>
      <w:r w:rsidRPr="00DE619F">
        <w:rPr>
          <w:rFonts w:ascii="PF Din Text Cond Pro Light" w:hAnsi="PF Din Text Cond Pro Light" w:cs="Arial"/>
        </w:rPr>
        <w:t>-</w:t>
      </w:r>
      <w:r>
        <w:rPr>
          <w:rFonts w:ascii="PF Din Text Cond Pro Light" w:hAnsi="PF Din Text Cond Pro Light" w:cs="Arial"/>
        </w:rPr>
        <w:t xml:space="preserve"> </w:t>
      </w:r>
      <w:r w:rsidRPr="00DE619F">
        <w:rPr>
          <w:rFonts w:ascii="PF Din Text Cond Pro Light" w:hAnsi="PF Din Text Cond Pro Light" w:cs="Arial"/>
        </w:rPr>
        <w:t>117,3%, транспортный налог</w:t>
      </w:r>
      <w:r>
        <w:rPr>
          <w:rFonts w:ascii="PF Din Text Cond Pro Light" w:hAnsi="PF Din Text Cond Pro Light" w:cs="Arial"/>
        </w:rPr>
        <w:t xml:space="preserve"> </w:t>
      </w:r>
      <w:r w:rsidRPr="00DE619F">
        <w:rPr>
          <w:rFonts w:ascii="PF Din Text Cond Pro Light" w:hAnsi="PF Din Text Cond Pro Light" w:cs="Arial"/>
        </w:rPr>
        <w:t>-</w:t>
      </w:r>
      <w:r>
        <w:rPr>
          <w:rFonts w:ascii="PF Din Text Cond Pro Light" w:hAnsi="PF Din Text Cond Pro Light" w:cs="Arial"/>
        </w:rPr>
        <w:t xml:space="preserve"> </w:t>
      </w:r>
      <w:r w:rsidRPr="00DE619F">
        <w:rPr>
          <w:rFonts w:ascii="PF Din Text Cond Pro Light" w:hAnsi="PF Din Text Cond Pro Light" w:cs="Arial"/>
        </w:rPr>
        <w:t>116,6%, земельный налог</w:t>
      </w:r>
      <w:r>
        <w:rPr>
          <w:rFonts w:ascii="PF Din Text Cond Pro Light" w:hAnsi="PF Din Text Cond Pro Light" w:cs="Arial"/>
        </w:rPr>
        <w:t xml:space="preserve"> </w:t>
      </w:r>
      <w:r w:rsidRPr="00DE619F">
        <w:rPr>
          <w:rFonts w:ascii="PF Din Text Cond Pro Light" w:hAnsi="PF Din Text Cond Pro Light" w:cs="Arial"/>
        </w:rPr>
        <w:t>-</w:t>
      </w:r>
      <w:r>
        <w:rPr>
          <w:rFonts w:ascii="PF Din Text Cond Pro Light" w:hAnsi="PF Din Text Cond Pro Light" w:cs="Arial"/>
        </w:rPr>
        <w:t xml:space="preserve"> </w:t>
      </w:r>
      <w:r w:rsidRPr="00DE619F">
        <w:rPr>
          <w:rFonts w:ascii="PF Din Text Cond Pro Light" w:hAnsi="PF Din Text Cond Pro Light" w:cs="Arial"/>
        </w:rPr>
        <w:t>133,9%.</w:t>
      </w:r>
    </w:p>
    <w:p w:rsidR="00427CA6" w:rsidRDefault="00427CA6" w:rsidP="00427CA6">
      <w:pPr>
        <w:pStyle w:val="a4"/>
        <w:spacing w:before="0" w:beforeAutospacing="0" w:after="0" w:afterAutospacing="0"/>
        <w:ind w:firstLine="567"/>
        <w:jc w:val="center"/>
        <w:rPr>
          <w:rFonts w:ascii="PF Din Text Cond Pro Light" w:hAnsi="PF Din Text Cond Pro Light" w:cs="Arial"/>
          <w:b/>
          <w:bCs/>
        </w:rPr>
      </w:pPr>
    </w:p>
    <w:p w:rsidR="00427CA6" w:rsidRDefault="00427CA6" w:rsidP="00427CA6">
      <w:pPr>
        <w:pStyle w:val="a4"/>
        <w:spacing w:before="0" w:beforeAutospacing="0" w:after="0" w:afterAutospacing="0"/>
        <w:ind w:firstLine="567"/>
        <w:jc w:val="center"/>
        <w:rPr>
          <w:rFonts w:ascii="PF Din Text Cond Pro Light" w:hAnsi="PF Din Text Cond Pro Light" w:cs="Arial"/>
          <w:b/>
          <w:bCs/>
        </w:rPr>
      </w:pPr>
      <w:r w:rsidRPr="003D3A05">
        <w:rPr>
          <w:rFonts w:ascii="PF Din Text Cond Pro Light" w:hAnsi="PF Din Text Cond Pro Light" w:cs="Arial"/>
          <w:b/>
          <w:bCs/>
        </w:rPr>
        <w:t>Отраслевая структура поступлений налогов (без НДФЛ) в консолидированный бюджет Республики Бурятия в 2014 году</w:t>
      </w:r>
    </w:p>
    <w:p w:rsidR="00427CA6" w:rsidRPr="00D1270B" w:rsidRDefault="00427CA6" w:rsidP="00427CA6">
      <w:pPr>
        <w:pStyle w:val="a4"/>
        <w:spacing w:before="0" w:beforeAutospacing="0" w:after="0" w:afterAutospacing="0"/>
        <w:ind w:firstLine="567"/>
        <w:jc w:val="center"/>
        <w:rPr>
          <w:rFonts w:ascii="PF Din Text Cond Pro Light" w:hAnsi="PF Din Text Cond Pro Light" w:cs="Arial"/>
          <w:sz w:val="6"/>
          <w:szCs w:val="6"/>
        </w:rPr>
      </w:pPr>
    </w:p>
    <w:p w:rsidR="00427CA6" w:rsidRDefault="00427CA6" w:rsidP="00427CA6">
      <w:pPr>
        <w:pStyle w:val="a4"/>
        <w:spacing w:before="0" w:beforeAutospacing="0" w:after="0" w:afterAutospacing="0"/>
        <w:rPr>
          <w:rFonts w:ascii="PF Din Text Cond Pro Light" w:hAnsi="PF Din Text Cond Pro Light" w:cs="Arial"/>
        </w:rPr>
      </w:pPr>
      <w:r>
        <w:rPr>
          <w:rFonts w:ascii="PF Din Text Cond Pro Light" w:hAnsi="PF Din Text Cond Pro Light" w:cs="Arial"/>
          <w:noProof/>
        </w:rPr>
        <w:drawing>
          <wp:inline distT="0" distB="0" distL="0" distR="0">
            <wp:extent cx="6162675" cy="3228975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427CA6" w:rsidRDefault="00427CA6" w:rsidP="00427CA6">
      <w:pPr>
        <w:pStyle w:val="a4"/>
        <w:spacing w:before="0" w:beforeAutospacing="0" w:after="0" w:afterAutospacing="0"/>
        <w:ind w:firstLine="567"/>
        <w:jc w:val="right"/>
        <w:rPr>
          <w:rFonts w:ascii="PF Din Text Cond Pro Light" w:hAnsi="PF Din Text Cond Pro Light" w:cs="Arial"/>
        </w:rPr>
      </w:pPr>
    </w:p>
    <w:p w:rsidR="00427CA6" w:rsidRDefault="00427CA6" w:rsidP="00427CA6">
      <w:pPr>
        <w:pStyle w:val="a4"/>
        <w:spacing w:before="0" w:beforeAutospacing="0" w:after="0" w:afterAutospacing="0"/>
        <w:ind w:firstLine="567"/>
        <w:jc w:val="right"/>
        <w:rPr>
          <w:rFonts w:ascii="PF Din Text Cond Pro Light" w:hAnsi="PF Din Text Cond Pro Light" w:cs="Arial"/>
          <w:b/>
          <w:sz w:val="26"/>
          <w:szCs w:val="26"/>
        </w:rPr>
      </w:pPr>
      <w:r>
        <w:rPr>
          <w:rFonts w:ascii="PF Din Text Cond Pro Light" w:hAnsi="PF Din Text Cond Pro Light" w:cs="Arial"/>
          <w:b/>
          <w:sz w:val="26"/>
          <w:szCs w:val="26"/>
        </w:rPr>
        <w:t>Межрайонная И</w:t>
      </w:r>
      <w:r w:rsidRPr="0047634A">
        <w:rPr>
          <w:rFonts w:ascii="PF Din Text Cond Pro Light" w:hAnsi="PF Din Text Cond Pro Light" w:cs="Arial"/>
          <w:b/>
          <w:sz w:val="26"/>
          <w:szCs w:val="26"/>
        </w:rPr>
        <w:t>ФНС России</w:t>
      </w:r>
      <w:r>
        <w:rPr>
          <w:rFonts w:ascii="PF Din Text Cond Pro Light" w:hAnsi="PF Din Text Cond Pro Light" w:cs="Arial"/>
          <w:b/>
          <w:sz w:val="26"/>
          <w:szCs w:val="26"/>
        </w:rPr>
        <w:t xml:space="preserve"> №1</w:t>
      </w:r>
      <w:bookmarkStart w:id="0" w:name="_GoBack"/>
      <w:bookmarkEnd w:id="0"/>
      <w:r>
        <w:rPr>
          <w:rFonts w:ascii="PF Din Text Cond Pro Light" w:hAnsi="PF Din Text Cond Pro Light" w:cs="Arial"/>
          <w:b/>
          <w:sz w:val="26"/>
          <w:szCs w:val="26"/>
        </w:rPr>
        <w:t xml:space="preserve"> </w:t>
      </w:r>
      <w:r w:rsidRPr="000F06E4">
        <w:rPr>
          <w:rFonts w:ascii="PF Din Text Cond Pro Light" w:hAnsi="PF Din Text Cond Pro Light" w:cs="Arial"/>
          <w:b/>
          <w:sz w:val="26"/>
          <w:szCs w:val="26"/>
        </w:rPr>
        <w:t xml:space="preserve">по Республике Бурятия </w:t>
      </w:r>
    </w:p>
    <w:p w:rsidR="003C77C6" w:rsidRDefault="003C77C6"/>
    <w:sectPr w:rsidR="003C7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CA6"/>
    <w:rsid w:val="003C77C6"/>
    <w:rsid w:val="0042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C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427CA6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Normal (Web)"/>
    <w:basedOn w:val="a"/>
    <w:rsid w:val="00427CA6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427C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7CA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C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427CA6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Normal (Web)"/>
    <w:basedOn w:val="a"/>
    <w:rsid w:val="00427CA6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427C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7C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4767026527344459"/>
          <c:y val="1.5472120862940914E-2"/>
        </c:manualLayout>
      </c:layout>
      <c:overlay val="0"/>
      <c:txPr>
        <a:bodyPr/>
        <a:lstStyle/>
        <a:p>
          <a:pPr>
            <a:defRPr sz="1599"/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6379163162857069"/>
          <c:y val="0.19480574224514993"/>
          <c:w val="0.34844405371658638"/>
          <c:h val="0.6663560836225354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7 561 845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  <c:spPr>
              <a:solidFill>
                <a:srgbClr val="FFFF00"/>
              </a:solidFill>
            </c:spPr>
          </c:dPt>
          <c:dPt>
            <c:idx val="4"/>
            <c:bubble3D val="0"/>
          </c:dPt>
          <c:dPt>
            <c:idx val="5"/>
            <c:bubble3D val="0"/>
          </c:dPt>
          <c:dPt>
            <c:idx val="6"/>
            <c:bubble3D val="0"/>
          </c:dPt>
          <c:dPt>
            <c:idx val="7"/>
            <c:bubble3D val="0"/>
          </c:dPt>
          <c:dPt>
            <c:idx val="8"/>
            <c:bubble3D val="0"/>
          </c:dPt>
          <c:dPt>
            <c:idx val="9"/>
            <c:bubble3D val="0"/>
          </c:dPt>
          <c:dPt>
            <c:idx val="10"/>
            <c:bubble3D val="0"/>
          </c:dPt>
          <c:dPt>
            <c:idx val="11"/>
            <c:bubble3D val="0"/>
          </c:dPt>
          <c:dPt>
            <c:idx val="12"/>
            <c:bubble3D val="0"/>
          </c:dPt>
          <c:dLbls>
            <c:dLbl>
              <c:idx val="0"/>
              <c:layout>
                <c:manualLayout>
                  <c:x val="5.8396911551104658E-2"/>
                  <c:y val="-5.9121967764501383E-2"/>
                </c:manualLayout>
              </c:layout>
              <c:tx>
                <c:rich>
                  <a:bodyPr/>
                  <a:lstStyle/>
                  <a:p>
                    <a:r>
                      <a:rPr lang="en-US" sz="799" dirty="0"/>
                      <a:t>87 </a:t>
                    </a:r>
                    <a:r>
                      <a:rPr lang="en-US" sz="799" dirty="0" smtClean="0"/>
                      <a:t>880</a:t>
                    </a:r>
                    <a:r>
                      <a:rPr lang="ru-RU" sz="799" dirty="0" smtClean="0"/>
                      <a:t> (1,16%)</a:t>
                    </a:r>
                    <a:endParaRPr lang="en-US" dirty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8022322452411838E-2"/>
                  <c:y val="2.6483945723663773E-2"/>
                </c:manualLayout>
              </c:layout>
              <c:tx>
                <c:rich>
                  <a:bodyPr/>
                  <a:lstStyle/>
                  <a:p>
                    <a:r>
                      <a:rPr lang="en-US" sz="799" dirty="0"/>
                      <a:t>1 061 </a:t>
                    </a:r>
                    <a:r>
                      <a:rPr lang="en-US" sz="799" dirty="0" smtClean="0"/>
                      <a:t>666</a:t>
                    </a:r>
                    <a:r>
                      <a:rPr lang="ru-RU" sz="799" baseline="0" dirty="0" smtClean="0"/>
                      <a:t> (14,04%)</a:t>
                    </a:r>
                    <a:endParaRPr lang="en-US" dirty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0435491680044848E-2"/>
                  <c:y val="-2.8335017417909711E-3"/>
                </c:manualLayout>
              </c:layout>
              <c:tx>
                <c:rich>
                  <a:bodyPr/>
                  <a:lstStyle/>
                  <a:p>
                    <a:r>
                      <a:rPr lang="en-US" sz="799" dirty="0"/>
                      <a:t>773 </a:t>
                    </a:r>
                    <a:r>
                      <a:rPr lang="en-US" sz="799" dirty="0" smtClean="0"/>
                      <a:t>824</a:t>
                    </a:r>
                    <a:r>
                      <a:rPr lang="ru-RU" sz="799" dirty="0" smtClean="0"/>
                      <a:t> (10,23%)</a:t>
                    </a:r>
                    <a:endParaRPr lang="en-US" dirty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4716127717045079E-2"/>
                  <c:y val="-8.6742335547130931E-3"/>
                </c:manualLayout>
              </c:layout>
              <c:tx>
                <c:rich>
                  <a:bodyPr/>
                  <a:lstStyle/>
                  <a:p>
                    <a:r>
                      <a:rPr lang="en-US" sz="799" dirty="0"/>
                      <a:t>288 </a:t>
                    </a:r>
                    <a:r>
                      <a:rPr lang="en-US" sz="799" dirty="0" smtClean="0"/>
                      <a:t>408</a:t>
                    </a:r>
                    <a:r>
                      <a:rPr lang="ru-RU" sz="799" dirty="0" smtClean="0"/>
                      <a:t> (3,81%)</a:t>
                    </a:r>
                    <a:endParaRPr lang="en-US" dirty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422916188874449E-2"/>
                  <c:y val="-1.0930265253676255E-2"/>
                </c:manualLayout>
              </c:layout>
              <c:tx>
                <c:rich>
                  <a:bodyPr/>
                  <a:lstStyle/>
                  <a:p>
                    <a:r>
                      <a:rPr lang="en-US" sz="799" dirty="0"/>
                      <a:t>535 </a:t>
                    </a:r>
                    <a:r>
                      <a:rPr lang="en-US" sz="799" dirty="0" smtClean="0"/>
                      <a:t>329</a:t>
                    </a:r>
                    <a:r>
                      <a:rPr lang="ru-RU" sz="799" dirty="0" smtClean="0"/>
                      <a:t> (7,08%)</a:t>
                    </a:r>
                    <a:endParaRPr lang="en-US" dirty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5262594602859108E-3"/>
                  <c:y val="1.8218327047356685E-3"/>
                </c:manualLayout>
              </c:layout>
              <c:tx>
                <c:rich>
                  <a:bodyPr/>
                  <a:lstStyle/>
                  <a:p>
                    <a:r>
                      <a:rPr lang="en-US" sz="799" dirty="0"/>
                      <a:t>1 299 </a:t>
                    </a:r>
                    <a:r>
                      <a:rPr lang="en-US" sz="799" dirty="0" smtClean="0"/>
                      <a:t>775</a:t>
                    </a:r>
                    <a:r>
                      <a:rPr lang="ru-RU" sz="799" dirty="0" smtClean="0"/>
                      <a:t> (17,19%)</a:t>
                    </a:r>
                    <a:endParaRPr lang="en-US" dirty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4.7169558902224601E-3"/>
                  <c:y val="-3.7577705660351617E-2"/>
                </c:manualLayout>
              </c:layout>
              <c:tx>
                <c:rich>
                  <a:bodyPr/>
                  <a:lstStyle/>
                  <a:p>
                    <a:r>
                      <a:rPr lang="en-US" sz="799" dirty="0"/>
                      <a:t>1 201 </a:t>
                    </a:r>
                    <a:r>
                      <a:rPr lang="en-US" sz="799" dirty="0" smtClean="0"/>
                      <a:t>398</a:t>
                    </a:r>
                    <a:r>
                      <a:rPr lang="ru-RU" sz="799" dirty="0" smtClean="0"/>
                      <a:t> (15,89%)</a:t>
                    </a:r>
                    <a:endParaRPr lang="en-US" dirty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/>
              <c:tx>
                <c:rich>
                  <a:bodyPr/>
                  <a:lstStyle/>
                  <a:p>
                    <a:r>
                      <a:rPr lang="en-US" sz="799"/>
                      <a:t>650 </a:t>
                    </a:r>
                    <a:r>
                      <a:rPr lang="en-US" sz="799" smtClean="0"/>
                      <a:t>246</a:t>
                    </a:r>
                    <a:r>
                      <a:rPr lang="ru-RU" sz="799" smtClean="0"/>
                      <a:t> (8,60%)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8"/>
              <c:layout/>
              <c:tx>
                <c:rich>
                  <a:bodyPr/>
                  <a:lstStyle/>
                  <a:p>
                    <a:r>
                      <a:rPr lang="en-US" sz="799"/>
                      <a:t>741 </a:t>
                    </a:r>
                    <a:r>
                      <a:rPr lang="en-US" sz="799" smtClean="0"/>
                      <a:t>163</a:t>
                    </a:r>
                    <a:r>
                      <a:rPr lang="ru-RU" sz="799" smtClean="0"/>
                      <a:t> (9,80%)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5.2380042300537678E-3"/>
                  <c:y val="1.0009968058840543E-2"/>
                </c:manualLayout>
              </c:layout>
              <c:tx>
                <c:rich>
                  <a:bodyPr/>
                  <a:lstStyle/>
                  <a:p>
                    <a:r>
                      <a:rPr lang="en-US" sz="799" dirty="0"/>
                      <a:t>394 </a:t>
                    </a:r>
                    <a:r>
                      <a:rPr lang="en-US" sz="799" dirty="0" smtClean="0"/>
                      <a:t>426</a:t>
                    </a:r>
                    <a:r>
                      <a:rPr lang="ru-RU" sz="799" dirty="0" smtClean="0"/>
                      <a:t> (5,22%)</a:t>
                    </a:r>
                    <a:endParaRPr lang="en-US" dirty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1.0042873888336773E-2"/>
                  <c:y val="-1.757994244304915E-3"/>
                </c:manualLayout>
              </c:layout>
              <c:tx>
                <c:rich>
                  <a:bodyPr/>
                  <a:lstStyle/>
                  <a:p>
                    <a:r>
                      <a:rPr lang="en-US" sz="799" dirty="0"/>
                      <a:t>314 </a:t>
                    </a:r>
                    <a:r>
                      <a:rPr lang="en-US" sz="799" dirty="0" smtClean="0"/>
                      <a:t>632</a:t>
                    </a:r>
                    <a:r>
                      <a:rPr lang="ru-RU" sz="799" dirty="0" smtClean="0"/>
                      <a:t> (4,16%)</a:t>
                    </a:r>
                    <a:endParaRPr lang="en-US" dirty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3756529826975509E-2"/>
                  <c:y val="-4.0985753546019368E-2"/>
                </c:manualLayout>
              </c:layout>
              <c:tx>
                <c:rich>
                  <a:bodyPr/>
                  <a:lstStyle/>
                  <a:p>
                    <a:r>
                      <a:rPr lang="en-US" sz="799" dirty="0"/>
                      <a:t>213 </a:t>
                    </a:r>
                    <a:r>
                      <a:rPr lang="en-US" sz="799" dirty="0" smtClean="0"/>
                      <a:t>075</a:t>
                    </a:r>
                    <a:r>
                      <a:rPr lang="ru-RU" sz="799" dirty="0" smtClean="0"/>
                      <a:t> (2,82)</a:t>
                    </a:r>
                    <a:endParaRPr lang="en-US" dirty="0"/>
                  </a:p>
                </c:rich>
              </c:tx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99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Лист1!$A$2:$A$14</c:f>
              <c:strCache>
                <c:ptCount val="13"/>
                <c:pt idx="0">
                  <c:v>Сельское хозяйство</c:v>
                </c:pt>
                <c:pt idx="1">
                  <c:v>Добыча полезных ископаемых</c:v>
                </c:pt>
                <c:pt idx="2">
                  <c:v>Обрабатывающие производства</c:v>
                </c:pt>
                <c:pt idx="3">
                  <c:v>Производство и распределение электроэнергии, газа и воды</c:v>
                </c:pt>
                <c:pt idx="4">
                  <c:v>Строительство</c:v>
                </c:pt>
                <c:pt idx="5">
                  <c:v>Оптовая и розничная торговля</c:v>
                </c:pt>
                <c:pt idx="6">
                  <c:v>Транспорт и связь</c:v>
                </c:pt>
                <c:pt idx="7">
                  <c:v>Финансовая деятельность</c:v>
                </c:pt>
                <c:pt idx="8">
                  <c:v>Операции с недвижимым имуществом</c:v>
                </c:pt>
                <c:pt idx="9">
                  <c:v>Государственное управление и обеспечение военной безопасности</c:v>
                </c:pt>
                <c:pt idx="10">
                  <c:v>Образование</c:v>
                </c:pt>
                <c:pt idx="11">
                  <c:v>Здравоохранение</c:v>
                </c:pt>
                <c:pt idx="12">
                  <c:v>Остальные виды экономической деятельности</c:v>
                </c:pt>
              </c:strCache>
            </c:strRef>
          </c:cat>
          <c:val>
            <c:numRef>
              <c:f>Лист1!$B$2:$B$14</c:f>
              <c:numCache>
                <c:formatCode>#,##0</c:formatCode>
                <c:ptCount val="13"/>
                <c:pt idx="0">
                  <c:v>87880</c:v>
                </c:pt>
                <c:pt idx="1">
                  <c:v>1061666</c:v>
                </c:pt>
                <c:pt idx="2">
                  <c:v>773824</c:v>
                </c:pt>
                <c:pt idx="3">
                  <c:v>288408</c:v>
                </c:pt>
                <c:pt idx="4">
                  <c:v>535329</c:v>
                </c:pt>
                <c:pt idx="5">
                  <c:v>1299775</c:v>
                </c:pt>
                <c:pt idx="6">
                  <c:v>1201398</c:v>
                </c:pt>
                <c:pt idx="7">
                  <c:v>650246</c:v>
                </c:pt>
                <c:pt idx="8">
                  <c:v>741163</c:v>
                </c:pt>
                <c:pt idx="9">
                  <c:v>394426</c:v>
                </c:pt>
                <c:pt idx="10">
                  <c:v>314632</c:v>
                </c:pt>
                <c:pt idx="11">
                  <c:v>213075</c:v>
                </c:pt>
                <c:pt idx="12" formatCode="General">
                  <c:v>23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5383">
          <a:noFill/>
        </a:ln>
      </c:spPr>
    </c:plotArea>
    <c:legend>
      <c:legendPos val="r"/>
      <c:layout>
        <c:manualLayout>
          <c:xMode val="edge"/>
          <c:yMode val="edge"/>
          <c:x val="0.65833259050165893"/>
          <c:y val="1.8566673068305485E-2"/>
          <c:w val="0.34004935703791739"/>
          <c:h val="0.98076147493758403"/>
        </c:manualLayout>
      </c:layout>
      <c:overlay val="0"/>
      <c:txPr>
        <a:bodyPr/>
        <a:lstStyle/>
        <a:p>
          <a:pPr>
            <a:defRPr sz="799"/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 sz="1790"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2015-02-24T05:25:00Z</dcterms:created>
  <dcterms:modified xsi:type="dcterms:W3CDTF">2015-02-24T05:26:00Z</dcterms:modified>
</cp:coreProperties>
</file>